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</w:t>
            </w: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</w:t>
            </w:r>
            <w:r w:rsidR="003E675D" w:rsidRPr="003E67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green"/>
              </w:rPr>
              <w:t>Калужской области</w:t>
            </w: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культуры в Калужской области»</w:t>
            </w: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государственной программы Калужской области - «Развитие культуры в Калужской области».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подпрограмм, входящих в государственную программу: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1. «Развитие учреждений культуры и образования в сфере культуры»;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2. «Организация и проведение мероприятий в сфере культуры, искусства и кинематографии»;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3.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4. «Обеспечение формирования и содержания архивных фондов в Калужской области»;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5. «Организация и проведение мероприятий, посвященных празднованию Победы в Великой Отечественной войне».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государственной программы: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Цель государственной программы: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- Реализация роли культуры как духовно-нравственного основания развития личности и общества путем сохранения, эффективного использования и пополнения культурного потенциала Калужской области.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Задачи государственной программы: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1.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2. Сохранение, пополнение и использование культурного и исторического наследия Калужской области.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Результаты, достигнутые за отчетный период, и сведения о степени соответствия установленных и достигнутых индикаторов государственных программ за отчетный год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Сеть учреждений культуры и образования в сфере культуры в Калужской области составляет: </w:t>
            </w:r>
          </w:p>
          <w:p w:rsidR="00E03930" w:rsidRPr="000F4DCC" w:rsidRDefault="00E03930" w:rsidP="000F4D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917 единиц, из них 6 федеральных единиц (включая филиалы), 39 региональных, 1 региональная другого субъекта </w:t>
            </w:r>
            <w:r w:rsidR="00015EE1" w:rsidRPr="000F4DCC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  <w:r w:rsidRPr="000F4DCC">
              <w:rPr>
                <w:rFonts w:ascii="Times New Roman" w:hAnsi="Times New Roman"/>
                <w:sz w:val="26"/>
                <w:szCs w:val="26"/>
              </w:rPr>
              <w:t xml:space="preserve"> (г. Москвы), 871 муниципальная единица:</w:t>
            </w:r>
          </w:p>
          <w:p w:rsidR="00E03930" w:rsidRPr="000F4DCC" w:rsidRDefault="00E03930" w:rsidP="000F4DC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 театры – 3 (2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региональных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>, 1 муниципальный);</w:t>
            </w:r>
          </w:p>
          <w:p w:rsidR="00E03930" w:rsidRPr="000F4DCC" w:rsidRDefault="00E03930" w:rsidP="000F4DC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музеи – 42 (6 федеральных (включая филиалы), 2 региональных (26 сетевых единиц), 1 региональный (г. Москвы), 9 муниципальных);</w:t>
            </w:r>
            <w:proofErr w:type="gramEnd"/>
          </w:p>
          <w:p w:rsidR="00E03930" w:rsidRPr="000F4DCC" w:rsidRDefault="00E03930" w:rsidP="000F4DC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 культурно-досуговые учреждения – 378 (2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региональных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>, 376 муниципальных);</w:t>
            </w:r>
          </w:p>
          <w:p w:rsidR="00E03930" w:rsidRPr="000F4DCC" w:rsidRDefault="00E03930" w:rsidP="000F4DC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 библиотеки – 419 (3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региональных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>, 416 муниципальных);</w:t>
            </w:r>
          </w:p>
          <w:p w:rsidR="00E03930" w:rsidRPr="000F4DCC" w:rsidRDefault="00E03930" w:rsidP="000F4DC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> концертные организации – 2 (1 региональная -</w:t>
            </w:r>
            <w:r w:rsidR="008329A5" w:rsidRPr="000F4D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ГБУК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 «Калужская </w:t>
            </w:r>
            <w:r w:rsidRPr="000F4DC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областная филармония», 1 муниципальная); </w:t>
            </w:r>
          </w:p>
          <w:p w:rsidR="00E03930" w:rsidRPr="000F4DCC" w:rsidRDefault="00E03930" w:rsidP="000F4DCC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учреждения по </w:t>
            </w:r>
            <w:proofErr w:type="spellStart"/>
            <w:r w:rsidRPr="000F4DCC">
              <w:rPr>
                <w:rFonts w:ascii="Times New Roman" w:hAnsi="Times New Roman"/>
                <w:sz w:val="26"/>
                <w:szCs w:val="26"/>
              </w:rPr>
              <w:t>киновидеообслуживанию</w:t>
            </w:r>
            <w:proofErr w:type="spellEnd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 – 19 (3 муниципальных кинотеатра; кинозалы - 2 в государственных культурно-досуговых учреждениях, 14 – в муниципальных культурно-досуговых учреждениях);</w:t>
            </w:r>
            <w:proofErr w:type="gramEnd"/>
          </w:p>
          <w:p w:rsidR="00E03930" w:rsidRPr="000F4DCC" w:rsidRDefault="00E03930" w:rsidP="000F4DCC">
            <w:pPr>
              <w:pStyle w:val="ConsPlusNonformat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DC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 – 54 (3 </w:t>
            </w:r>
            <w:proofErr w:type="gramStart"/>
            <w:r w:rsidRPr="000F4DCC"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  <w:proofErr w:type="gramEnd"/>
            <w:r w:rsidRPr="000F4DCC">
              <w:rPr>
                <w:rFonts w:ascii="Times New Roman" w:hAnsi="Times New Roman" w:cs="Times New Roman"/>
                <w:sz w:val="26"/>
                <w:szCs w:val="26"/>
              </w:rPr>
              <w:t>, 51 муниципальное).</w:t>
            </w:r>
          </w:p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Обеспеченность учреждениями культуры </w:t>
            </w:r>
            <w:r w:rsidR="00721135" w:rsidRPr="000F4DCC">
              <w:rPr>
                <w:rFonts w:ascii="Times New Roman" w:hAnsi="Times New Roman"/>
                <w:sz w:val="26"/>
                <w:szCs w:val="26"/>
              </w:rPr>
              <w:t>соответст</w:t>
            </w:r>
            <w:r w:rsidR="000F4DCC" w:rsidRPr="000F4DCC">
              <w:rPr>
                <w:rFonts w:ascii="Times New Roman" w:hAnsi="Times New Roman"/>
                <w:sz w:val="26"/>
                <w:szCs w:val="26"/>
              </w:rPr>
              <w:t>вует нормативам, утвержденным распоряжением Минкультуры России от 02.08.2017 № Р-965, по следующим видам: театры, КДУ, зоопарки. Обеспеченность музеями, библиотеками, концертными организациями составляет более 60 %.</w:t>
            </w:r>
          </w:p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Уровень средней заработной платы работников учреждений культуры в организациях государственной и муниципальной форм собственности, расположенных на территории Калужской области, за январь - декабрь 2020 года (по оперативным данным, представленным в министерство культуры Калужской области) составил 36 289 руб. (без учета учреждений культуры федеральной формы собственности), что составляет 102 % от прогнозного значения показателя «среднемесячный доход от трудовой деятельности по Калужской области» (35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564,3 руб.), в том числе по формам собственности:</w:t>
            </w:r>
            <w:proofErr w:type="gramEnd"/>
          </w:p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 – 36 121 руб. (101,6 %);</w:t>
            </w:r>
          </w:p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областная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 – 36 612 руб. (102,9 %).</w:t>
            </w:r>
          </w:p>
          <w:p w:rsidR="004403A5" w:rsidRPr="000F4DCC" w:rsidRDefault="004403A5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Музеями Калужской области проведено 732 выставки, которые посетили 235,79 тыс. чел. </w:t>
            </w:r>
          </w:p>
          <w:p w:rsidR="004403A5" w:rsidRPr="000F4DCC" w:rsidRDefault="004403A5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Открыт военно-исторический центр «Маршал Победы – Георгий Константинович Жуков». </w:t>
            </w:r>
          </w:p>
          <w:p w:rsidR="004403A5" w:rsidRPr="0013512D" w:rsidRDefault="004403A5" w:rsidP="000F4DC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13512D">
              <w:rPr>
                <w:sz w:val="26"/>
                <w:szCs w:val="26"/>
              </w:rPr>
              <w:t>Театрами создано 13 новых постановок.</w:t>
            </w:r>
          </w:p>
          <w:p w:rsidR="004403A5" w:rsidRPr="000F4DCC" w:rsidRDefault="004403A5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Продолжается интеграция библиотек региона в единую библиотечно-информационную сеть. На сегодняшний день в Калужской области доступ к федеральной государственной информационной системе «Национальная электронная библиотека» (далее - НЭБ) обеспечивают 73 библиотеки, в том числе все центральные районные библиотеки региона. Каждый житель Калужской области имеет доступ к НЭБ. Оцифровано 3 215 редких изданий. </w:t>
            </w:r>
          </w:p>
          <w:p w:rsidR="004403A5" w:rsidRPr="000F4DCC" w:rsidRDefault="004403A5" w:rsidP="000F4DC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F4DCC">
              <w:rPr>
                <w:sz w:val="26"/>
                <w:szCs w:val="26"/>
              </w:rPr>
              <w:t xml:space="preserve">Концертными организациями Калужской области было проведено более 200 концертов. </w:t>
            </w:r>
          </w:p>
          <w:p w:rsidR="004403A5" w:rsidRPr="000F4DCC" w:rsidRDefault="004403A5" w:rsidP="000F4DC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F4DCC">
              <w:rPr>
                <w:sz w:val="26"/>
                <w:szCs w:val="26"/>
              </w:rPr>
              <w:t>Открыт 1 виртуальный концертный зал в г. Мосальске Калужской области.</w:t>
            </w:r>
          </w:p>
          <w:p w:rsidR="004403A5" w:rsidRPr="000F4DCC" w:rsidRDefault="004403A5" w:rsidP="000F4DC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0F4DCC">
              <w:rPr>
                <w:sz w:val="26"/>
                <w:szCs w:val="26"/>
              </w:rPr>
              <w:t xml:space="preserve">В рамках </w:t>
            </w:r>
            <w:proofErr w:type="gramStart"/>
            <w:r w:rsidRPr="000F4DCC">
              <w:rPr>
                <w:sz w:val="26"/>
                <w:szCs w:val="26"/>
              </w:rPr>
              <w:t>исполнения поручений Председателя Правительства Российской Федерации</w:t>
            </w:r>
            <w:proofErr w:type="gramEnd"/>
            <w:r w:rsidRPr="000F4DCC">
              <w:rPr>
                <w:sz w:val="26"/>
                <w:szCs w:val="26"/>
              </w:rPr>
              <w:t xml:space="preserve"> от 30.01.2020 № ММ-П13-441 «О мерах по реализации Послания Президента Российской Федерации Федеральному Собранию Российской Федерации от 15.01.2020» в 2020 году проводилась модернизация (капитальный ремонт) 6 зданий детских школ искусств по видам искусств.</w:t>
            </w:r>
          </w:p>
          <w:p w:rsidR="004403A5" w:rsidRPr="000F4DCC" w:rsidRDefault="004403A5" w:rsidP="000F4DCC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 2020 году организовано проведение 74 государственных историко-культурных экспертиз. Д</w:t>
            </w:r>
            <w:r w:rsidRPr="000F4DCC">
              <w:rPr>
                <w:rFonts w:ascii="Times New Roman" w:hAnsi="Times New Roman"/>
                <w:bCs/>
                <w:sz w:val="26"/>
                <w:szCs w:val="26"/>
              </w:rPr>
              <w:t xml:space="preserve">ля </w:t>
            </w:r>
            <w:proofErr w:type="gramStart"/>
            <w:r w:rsidRPr="000F4DCC">
              <w:rPr>
                <w:rFonts w:ascii="Times New Roman" w:hAnsi="Times New Roman"/>
                <w:bCs/>
                <w:sz w:val="26"/>
                <w:szCs w:val="26"/>
              </w:rPr>
              <w:t>предлагаемых</w:t>
            </w:r>
            <w:proofErr w:type="gramEnd"/>
            <w:r w:rsidRPr="000F4DCC">
              <w:rPr>
                <w:rFonts w:ascii="Times New Roman" w:hAnsi="Times New Roman"/>
                <w:bCs/>
                <w:sz w:val="26"/>
                <w:szCs w:val="26"/>
              </w:rPr>
              <w:t xml:space="preserve"> к включению в реестр ОКН определена категория, предмет охраны, границы и режимы использования территории.</w:t>
            </w:r>
            <w:r w:rsidRPr="000F4DC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На основании государственных историко-культурных экспертиз 71 объект, сохранивший историко-культурную ценность, включен</w:t>
            </w:r>
            <w:r w:rsidRPr="000F4DCC">
              <w:rPr>
                <w:rFonts w:ascii="Times New Roman" w:hAnsi="Times New Roman"/>
                <w:bCs/>
                <w:sz w:val="26"/>
                <w:szCs w:val="26"/>
              </w:rPr>
              <w:t xml:space="preserve"> в реестр с последующим внесением данных в единую государственную информационную систему (АИС ЕГРОКН).</w:t>
            </w:r>
          </w:p>
          <w:p w:rsidR="004403A5" w:rsidRPr="000F4DCC" w:rsidRDefault="004403A5" w:rsidP="000F4DCC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В 2020 году приняты решения о включении 8 объектов в перечень выявленных объектов культурного наследия. </w:t>
            </w:r>
            <w:r w:rsidRPr="000F4DCC">
              <w:rPr>
                <w:rFonts w:ascii="Times New Roman" w:hAnsi="Times New Roman"/>
                <w:sz w:val="26"/>
                <w:szCs w:val="26"/>
              </w:rPr>
              <w:t>За отчетный период</w:t>
            </w:r>
            <w:r w:rsidRPr="000F4D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4DC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разработаны и утверждены предметы охраны</w:t>
            </w:r>
            <w:r w:rsidRPr="000F4D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4DCC">
              <w:rPr>
                <w:rFonts w:ascii="Times New Roman" w:hAnsi="Times New Roman"/>
                <w:sz w:val="26"/>
                <w:szCs w:val="26"/>
              </w:rPr>
              <w:t>40</w:t>
            </w:r>
            <w:r w:rsidRPr="000F4DC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ОКН, а границами территорий обеспечены 105 ОКН.</w:t>
            </w:r>
            <w:r w:rsidRPr="000F4DCC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4403A5" w:rsidRPr="000F4DCC" w:rsidRDefault="004403A5" w:rsidP="000F4DCC">
            <w:pPr>
              <w:pStyle w:val="a4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В 2020 году проведено 76 мероприятий по </w:t>
            </w:r>
            <w:proofErr w:type="gramStart"/>
            <w:r w:rsidRPr="000F4DCC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 состоянием объектов культурного наследия. </w:t>
            </w:r>
          </w:p>
          <w:p w:rsidR="003B7B65" w:rsidRDefault="004403A5" w:rsidP="0013512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0F4DCC">
              <w:rPr>
                <w:sz w:val="26"/>
                <w:szCs w:val="26"/>
              </w:rPr>
              <w:lastRenderedPageBreak/>
              <w:t xml:space="preserve">Составлено 64 протокола о привлечении физических, юридических </w:t>
            </w:r>
            <w:r w:rsidRPr="000F4DCC">
              <w:rPr>
                <w:sz w:val="26"/>
                <w:szCs w:val="26"/>
              </w:rPr>
              <w:br/>
              <w:t xml:space="preserve">и должностных лиц к административной ответственности, назначено судами штрафов на сумму </w:t>
            </w:r>
            <w:r w:rsidRPr="000F4DCC">
              <w:rPr>
                <w:bCs/>
                <w:sz w:val="26"/>
                <w:szCs w:val="26"/>
                <w:u w:val="single"/>
              </w:rPr>
              <w:t>4 889 тысяч</w:t>
            </w:r>
            <w:r w:rsidRPr="000F4DCC">
              <w:rPr>
                <w:sz w:val="26"/>
                <w:szCs w:val="26"/>
                <w:u w:val="single"/>
              </w:rPr>
              <w:t xml:space="preserve"> рублей.</w:t>
            </w:r>
          </w:p>
          <w:p w:rsidR="0013512D" w:rsidRPr="000F4DCC" w:rsidRDefault="0013512D" w:rsidP="0013512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государственной программы: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"/>
                <w:tab w:val="left" w:pos="6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сохранение сети учреждений культуры; </w:t>
            </w:r>
          </w:p>
          <w:p w:rsidR="00E03930" w:rsidRPr="000F4DCC" w:rsidRDefault="00E03930" w:rsidP="000F4D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"/>
                <w:tab w:val="left" w:pos="6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повышение доступности культурных ценностей через использование </w:t>
            </w:r>
            <w:proofErr w:type="spellStart"/>
            <w:r w:rsidRPr="000F4DCC">
              <w:rPr>
                <w:rFonts w:ascii="Times New Roman" w:hAnsi="Times New Roman"/>
                <w:sz w:val="26"/>
                <w:szCs w:val="26"/>
              </w:rPr>
              <w:t>малозатратных</w:t>
            </w:r>
            <w:proofErr w:type="spellEnd"/>
            <w:r w:rsidRPr="000F4DCC">
              <w:rPr>
                <w:rFonts w:ascii="Times New Roman" w:hAnsi="Times New Roman"/>
                <w:sz w:val="26"/>
                <w:szCs w:val="26"/>
              </w:rPr>
              <w:t xml:space="preserve"> информационных технологий; </w:t>
            </w:r>
          </w:p>
          <w:p w:rsidR="00E03930" w:rsidRPr="000F4DCC" w:rsidRDefault="00E03930" w:rsidP="000F4D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"/>
                <w:tab w:val="left" w:pos="6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 xml:space="preserve">использование механизмов государственно-частного партнерства; </w:t>
            </w:r>
          </w:p>
          <w:p w:rsidR="00E03930" w:rsidRPr="000F4DCC" w:rsidRDefault="00E03930" w:rsidP="000F4D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"/>
                <w:tab w:val="left" w:pos="6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>модернизация материально-технической базы отрасли;</w:t>
            </w:r>
          </w:p>
          <w:p w:rsidR="003B7B65" w:rsidRPr="000F4DCC" w:rsidRDefault="00E03930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>поддержка творческой части населения.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2.3 Плановые значения выполнены на 100 % и выше по следующим индикаторам:</w:t>
            </w:r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453070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посещений организаций культуры;</w:t>
            </w:r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2. Число обращений к цифровым ресурсам в сфере культуры;</w:t>
            </w:r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3. 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  <w:proofErr w:type="gramStart"/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индикаторам: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F4DCC">
              <w:rPr>
                <w:rFonts w:ascii="Times New Roman" w:hAnsi="Times New Roman"/>
                <w:iCs/>
                <w:sz w:val="26"/>
                <w:szCs w:val="26"/>
              </w:rPr>
              <w:t>Отсутствуют.</w:t>
            </w:r>
          </w:p>
          <w:p w:rsidR="003B7B65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Сведения о достижении значений индикаторов государственной программы</w:t>
            </w:r>
            <w:r w:rsidR="008329A5" w:rsidRPr="000F4DC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0F4DC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представлены в приложении № 1.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3.1 Выполненные контрольные мероприятия: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310CE" w:rsidRDefault="008329A5" w:rsidP="004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- открытие в 2020 году</w:t>
            </w:r>
            <w:r w:rsidR="00E03930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9 виртуальных концертных залов</w:t>
            </w:r>
            <w:r w:rsidR="004310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310CE" w:rsidRPr="004310CE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(</w:t>
            </w:r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ГАУК </w:t>
            </w:r>
            <w:proofErr w:type="gramStart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>КО</w:t>
            </w:r>
            <w:proofErr w:type="gramEnd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«Калужская областная филармония, Муниципальное казенное учреждение «Кировский районный центр культуры и искусства», Муниципальное казенное учреждение «Дом культуры города Медынь», Музей-заповедник «Полотняный Завод» – филиал государственного бюджетного учреждения культуры Калужской области «Калужский объединенный музей-заповедник», Тарусская картинная галерея – филиал государственного бюджетного учреждения культуры Калужской области «Калужский музей изобразительных искусств», Муниципальное </w:t>
            </w:r>
            <w:proofErr w:type="spellStart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>межпоселенческое</w:t>
            </w:r>
            <w:proofErr w:type="spellEnd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бюджетное учреждение культуры «Жиздринская районная централизованная библиотечная система», Муниципальное учреждение культуры «Жуковская </w:t>
            </w:r>
            <w:proofErr w:type="spellStart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>межпоселенческая</w:t>
            </w:r>
            <w:proofErr w:type="spellEnd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центральная библиотека имени Н.Н. Ремизова, </w:t>
            </w:r>
            <w:proofErr w:type="spellStart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>Середейский</w:t>
            </w:r>
            <w:proofErr w:type="spellEnd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поселковый Дом культуры муниципального казенного учреждения «</w:t>
            </w:r>
            <w:proofErr w:type="spellStart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>Межпоселенческий</w:t>
            </w:r>
            <w:proofErr w:type="spellEnd"/>
            <w:r w:rsidR="004310CE" w:rsidRPr="004310CE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социально-культурный комплекс» отдела культуры администрации МР «Сухиничский район», Муниципальное казенное учреждение «Культура муниципального района «Мосальский район»).</w:t>
            </w:r>
          </w:p>
          <w:p w:rsidR="00B75FFF" w:rsidRPr="000F4DCC" w:rsidRDefault="00B75FFF" w:rsidP="00B7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- установка ежегодно по одной стеле в поселениях, на территории которых расположены населенные пункты, удостоенные почетных званий в соответствии с Законом Калужской области «О почетных званиях Калужской области «Город воинской доблести», «Населенный пункт воинской доблести», «Рубеж воинской доблести».</w:t>
            </w:r>
            <w:proofErr w:type="gramEnd"/>
          </w:p>
          <w:p w:rsidR="00B75FFF" w:rsidRPr="000F4DCC" w:rsidRDefault="00B75FFF" w:rsidP="00B7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5FFF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 xml:space="preserve">На основании Закона Калужской области «О присвоении городу Жукову почётного звания Калужской области «Город воинской доблести» за мужество, стойкость и массовый </w:t>
            </w:r>
            <w:r w:rsidRPr="00B75FFF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lastRenderedPageBreak/>
              <w:t xml:space="preserve">героизм, проявленный защитниками Отечества в </w:t>
            </w:r>
            <w:proofErr w:type="gramStart"/>
            <w:r w:rsidRPr="00B75FFF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>сражениях, проходивших на территории населенного пункта в городе Жукове установлена</w:t>
            </w:r>
            <w:proofErr w:type="gramEnd"/>
            <w:r w:rsidRPr="00B75FFF">
              <w:rPr>
                <w:rFonts w:ascii="Times New Roman" w:hAnsi="Times New Roman"/>
                <w:color w:val="000000"/>
                <w:sz w:val="26"/>
                <w:szCs w:val="26"/>
                <w:highlight w:val="green"/>
              </w:rPr>
              <w:t xml:space="preserve"> стела «Город воинской доблести». Торжественное открытие состоялось 9 мая 2020 года.</w:t>
            </w:r>
            <w:r w:rsidRPr="007C383D">
              <w:rPr>
                <w:color w:val="000000"/>
                <w:sz w:val="26"/>
                <w:szCs w:val="26"/>
              </w:rPr>
              <w:tab/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Анализ факторов, повлиявших на ход реализации государственной программы</w:t>
            </w:r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>Факторов, отрицательно повлиявших на ход реализации государственной программы, нет.</w:t>
            </w:r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sz w:val="26"/>
                <w:szCs w:val="26"/>
              </w:rPr>
              <w:t>К факторам, положительно повлиявшим на ход реализации государственной программы, можно отнести стабильное социально-экономическое развитие региона, достаточное финансирование сферы культуры, эффективное управлени</w:t>
            </w:r>
            <w:r w:rsidR="00131AAB" w:rsidRPr="000F4DCC">
              <w:rPr>
                <w:rFonts w:ascii="Times New Roman" w:hAnsi="Times New Roman"/>
                <w:sz w:val="26"/>
                <w:szCs w:val="26"/>
              </w:rPr>
              <w:t>е учреждениями культуры региона, использование новых форм предоставления услуг в сфере культуры.</w:t>
            </w:r>
            <w:r w:rsidRPr="000F4D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государственной программы, в разрезе программных мероприятий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программы в 2020 году составило 1326859.678 тыс. руб., в том числе за счет средств: 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федерального бюджета 225906.936 тыс. руб.;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- областного бюджета 1083267.600 тыс. руб.;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B7B6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- местных бюджетов 17685.142 тыс. руб</w:t>
            </w:r>
            <w:proofErr w:type="gramStart"/>
            <w:r w:rsidR="003B7B65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iCs/>
                <w:sz w:val="26"/>
                <w:szCs w:val="26"/>
              </w:rPr>
              <w:t>Средства федерального бюджета привлекались в рамках реализации государственной программы Российской Федерации «Развитие культуры и туризма».</w:t>
            </w:r>
          </w:p>
        </w:tc>
      </w:tr>
      <w:tr w:rsidR="00E03930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03930" w:rsidRPr="000F4DCC" w:rsidRDefault="00E03930" w:rsidP="000F4D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приложении № 2.</w:t>
            </w:r>
          </w:p>
        </w:tc>
      </w:tr>
      <w:tr w:rsidR="003B7B6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B7B65" w:rsidRPr="000F4DCC" w:rsidRDefault="003B7B6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6. Оценка эффективности реализации государственной программы 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государственной программы Калужской области «Развитие культуры в Калужской области» характеризуется высоким уровнем эффективности – </w:t>
            </w:r>
            <w:r w:rsidR="00453070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%, в том числе реализация подпрограмм характеризуется: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высоким уровнем эффективности - 4 подпрограммы, в том числе: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«Развитие учреждений культуры и образования в сфере культуры» (</w:t>
            </w:r>
            <w:r w:rsidR="00453070"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99,5</w:t>
            </w: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>%);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«Организация и проведение мероприятий в сфере культуры, искусства и кинематографии» (98,4%);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 (100%);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«Организация и проведение мероприятий, посвященных празднованию Победы в Великой Отечественной войне» (100%).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удовлетворительным уровнем - 1 подпрограмма, в том числе:</w:t>
            </w:r>
          </w:p>
        </w:tc>
      </w:tr>
      <w:tr w:rsidR="008329A5" w:rsidRPr="008329A5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8329A5" w:rsidRPr="000F4DCC" w:rsidRDefault="008329A5" w:rsidP="000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D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«Обеспечение формирования и содержания архивных фондов в Калужской области» (92,5%).</w:t>
            </w:r>
          </w:p>
        </w:tc>
      </w:tr>
    </w:tbl>
    <w:p w:rsidR="00E03930" w:rsidRPr="008329A5" w:rsidRDefault="00E03930" w:rsidP="008329A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329A5">
        <w:rPr>
          <w:rFonts w:ascii="Times New Roman" w:hAnsi="Times New Roman"/>
          <w:i/>
          <w:color w:val="000000"/>
          <w:sz w:val="26"/>
          <w:szCs w:val="26"/>
        </w:rPr>
        <w:t>Расчет оценки эффективности реализации государственной программы</w:t>
      </w:r>
      <w:r w:rsidR="008329A5" w:rsidRPr="008329A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8329A5">
        <w:rPr>
          <w:rFonts w:ascii="Times New Roman" w:hAnsi="Times New Roman"/>
          <w:i/>
          <w:color w:val="000000"/>
          <w:sz w:val="26"/>
          <w:szCs w:val="26"/>
        </w:rPr>
        <w:t>представлен в приложении № 3.</w:t>
      </w:r>
    </w:p>
    <w:p w:rsidR="003B7B65" w:rsidRPr="008329A5" w:rsidRDefault="003B7B65" w:rsidP="008329A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3B7B65" w:rsidRPr="008329A5"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BD" w:rsidRDefault="003064BD">
      <w:pPr>
        <w:spacing w:after="0" w:line="240" w:lineRule="auto"/>
      </w:pPr>
      <w:r>
        <w:separator/>
      </w:r>
    </w:p>
  </w:endnote>
  <w:endnote w:type="continuationSeparator" w:id="0">
    <w:p w:rsidR="003064BD" w:rsidRDefault="0030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65" w:rsidRDefault="003B7B65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A71AD">
      <w:rPr>
        <w:rFonts w:ascii="Times New Roman" w:hAnsi="Times New Roman"/>
        <w:noProof/>
        <w:color w:val="000000"/>
        <w:sz w:val="20"/>
        <w:szCs w:val="20"/>
      </w:rPr>
      <w:t>4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2A71AD">
      <w:rPr>
        <w:rFonts w:ascii="Times New Roman" w:hAnsi="Times New Roman"/>
        <w:noProof/>
        <w:color w:val="000000"/>
        <w:sz w:val="20"/>
        <w:szCs w:val="20"/>
      </w:rPr>
      <w:t>4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BD" w:rsidRDefault="003064BD">
      <w:pPr>
        <w:spacing w:after="0" w:line="240" w:lineRule="auto"/>
      </w:pPr>
      <w:r>
        <w:separator/>
      </w:r>
    </w:p>
  </w:footnote>
  <w:footnote w:type="continuationSeparator" w:id="0">
    <w:p w:rsidR="003064BD" w:rsidRDefault="0030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9EB"/>
    <w:multiLevelType w:val="hybridMultilevel"/>
    <w:tmpl w:val="8B0823FA"/>
    <w:lvl w:ilvl="0" w:tplc="561CE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3AB"/>
    <w:multiLevelType w:val="hybridMultilevel"/>
    <w:tmpl w:val="1B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B"/>
    <w:rsid w:val="00015EE1"/>
    <w:rsid w:val="00043341"/>
    <w:rsid w:val="000F4DCC"/>
    <w:rsid w:val="00131AAB"/>
    <w:rsid w:val="0013512D"/>
    <w:rsid w:val="00141F5B"/>
    <w:rsid w:val="002A71AD"/>
    <w:rsid w:val="003064BD"/>
    <w:rsid w:val="003B7B65"/>
    <w:rsid w:val="003D612E"/>
    <w:rsid w:val="003E675D"/>
    <w:rsid w:val="004310CE"/>
    <w:rsid w:val="004403A5"/>
    <w:rsid w:val="00453070"/>
    <w:rsid w:val="00477BFB"/>
    <w:rsid w:val="006023CA"/>
    <w:rsid w:val="00721135"/>
    <w:rsid w:val="008329A5"/>
    <w:rsid w:val="008460BC"/>
    <w:rsid w:val="00B75FFF"/>
    <w:rsid w:val="00CE0C5C"/>
    <w:rsid w:val="00D54A8C"/>
    <w:rsid w:val="00E03930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393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40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403A5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393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40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403A5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11:57:07</dc:subject>
  <dc:creator>Keysystems.DWH2.ReportDesigner</dc:creator>
  <cp:lastModifiedBy>Сенина Ольга Валентиновна</cp:lastModifiedBy>
  <cp:revision>2</cp:revision>
  <dcterms:created xsi:type="dcterms:W3CDTF">2021-03-23T06:57:00Z</dcterms:created>
  <dcterms:modified xsi:type="dcterms:W3CDTF">2021-03-23T06:57:00Z</dcterms:modified>
</cp:coreProperties>
</file>